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黑体_GBK" w:hAnsi="方正黑体_GBK" w:eastAsia="方正黑体_GBK" w:cs="方正黑体_GBK"/>
          <w:sz w:val="32"/>
          <w:szCs w:val="32"/>
        </w:rPr>
      </w:pPr>
    </w:p>
    <w:p>
      <w:pPr>
        <w:spacing w:line="58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无醇燃油经营与使用安全管理规范</w:t>
      </w:r>
    </w:p>
    <w:p>
      <w:pPr>
        <w:spacing w:line="580" w:lineRule="exact"/>
        <w:jc w:val="center"/>
        <w:rPr>
          <w:rFonts w:ascii="方正楷体_GBK" w:hAnsi="Times New Roman" w:eastAsia="方正楷体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试行</w:t>
      </w:r>
      <w:r>
        <w:rPr>
          <w:rFonts w:hint="eastAsia" w:ascii="方正楷体_GBK" w:hAnsi="Times New Roman" w:eastAsia="方正楷体_GBK"/>
          <w:sz w:val="32"/>
          <w:szCs w:val="32"/>
        </w:rPr>
        <w:t>）</w:t>
      </w:r>
    </w:p>
    <w:p>
      <w:pPr>
        <w:spacing w:line="580" w:lineRule="exact"/>
        <w:jc w:val="center"/>
        <w:rPr>
          <w:rFonts w:ascii="Times New Roman" w:hAnsi="Times New Roman" w:eastAsia="方正仿宋_GBK"/>
          <w:sz w:val="32"/>
          <w:szCs w:val="32"/>
        </w:rPr>
      </w:pPr>
    </w:p>
    <w:p>
      <w:pPr>
        <w:spacing w:after="156" w:afterLines="50" w:line="580" w:lineRule="exact"/>
        <w:jc w:val="center"/>
        <w:rPr>
          <w:rFonts w:ascii="Times New Roman" w:hAnsi="Times New Roman" w:eastAsia="方正仿宋_GBK"/>
          <w:sz w:val="32"/>
          <w:szCs w:val="32"/>
        </w:rPr>
      </w:pPr>
      <w:r>
        <w:rPr>
          <w:rFonts w:hint="eastAsia" w:ascii="方正黑体_GBK" w:hAnsi="Times New Roman" w:eastAsia="方正黑体_GBK"/>
          <w:sz w:val="32"/>
          <w:szCs w:val="32"/>
        </w:rPr>
        <w:t>一、总则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第一条 本规范规定了无醇燃油在经营与使用过程中的安全和应急管理要求。</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第二条 本规范所称无醇燃油是指不含甲醇、乙醇、丁醇等醇类物质，以植物油、矿物油等为主要原料的燃料。</w:t>
      </w:r>
      <w:r>
        <w:rPr>
          <w:rFonts w:hint="eastAsia" w:ascii="Times New Roman" w:hAnsi="Times New Roman" w:eastAsia="方正仿宋_GBK"/>
          <w:sz w:val="32"/>
          <w:szCs w:val="32"/>
        </w:rPr>
        <w:t>无醇燃油应符合产品质量等相关标准要求。</w:t>
      </w:r>
      <w:r>
        <w:rPr>
          <w:rFonts w:ascii="Times New Roman" w:hAnsi="Times New Roman" w:eastAsia="方正仿宋_GBK"/>
          <w:sz w:val="32"/>
          <w:szCs w:val="32"/>
        </w:rPr>
        <w:t>吸入危险</w:t>
      </w:r>
      <w:r>
        <w:rPr>
          <w:rFonts w:hint="eastAsia" w:ascii="Times New Roman" w:hAnsi="Times New Roman" w:eastAsia="方正仿宋_GBK"/>
          <w:sz w:val="32"/>
          <w:szCs w:val="32"/>
        </w:rPr>
        <w:t>应符合《化学品分类和标签规范第27部分：吸入危害》（GB/T 30000.27-2013）吸入危险类别1。急性毒性应符合《化学品水生环境危害分类指导第3部分：水生毒性》（GB/T 36700.3-2018）危害水生环境—急性毒性类别3。慢性毒性应符合《化学品水生环境危害分类指导第3部分：水生毒性》（GB/T 36700.3-2018）危害水生环境—慢性毒性类别3。采用白油作为无醇燃油的，还应符合《轻质白油》（NB/SH/T 0913-2015）。</w:t>
      </w:r>
    </w:p>
    <w:p>
      <w:pPr>
        <w:spacing w:line="580"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sz w:val="32"/>
          <w:szCs w:val="32"/>
        </w:rPr>
        <w:t>第三条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本规范不适用于闭杯闪点小于等于60℃的无醇燃油</w:t>
      </w:r>
      <w:r>
        <w:rPr>
          <w:rFonts w:hint="eastAsia" w:ascii="Times New Roman" w:hAnsi="Times New Roman" w:eastAsia="方正仿宋_GBK"/>
          <w:sz w:val="32"/>
          <w:szCs w:val="32"/>
          <w:lang w:eastAsia="zh-CN"/>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第四条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本规范适用于无醇燃油的经营单位及使用单位（含工地、学校、企业、机关食堂、酒店、餐厅、农家乐、茶楼及个体商户等）的安全管理。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rPr>
        <w:t>五</w:t>
      </w:r>
      <w:r>
        <w:rPr>
          <w:rFonts w:ascii="Times New Roman" w:hAnsi="Times New Roman" w:eastAsia="方正仿宋_GBK"/>
          <w:sz w:val="32"/>
          <w:szCs w:val="32"/>
        </w:rPr>
        <w:t>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倒闭、关停的使用单位，其剩余无醇燃油应交由经营单位进行妥善处置。</w:t>
      </w:r>
    </w:p>
    <w:p>
      <w:pPr>
        <w:spacing w:before="156" w:beforeLines="50" w:after="156" w:afterLines="50" w:line="580" w:lineRule="exact"/>
        <w:jc w:val="center"/>
        <w:rPr>
          <w:rFonts w:ascii="方正黑体_GBK" w:hAnsi="Times New Roman" w:eastAsia="方正黑体_GBK"/>
          <w:sz w:val="32"/>
          <w:szCs w:val="32"/>
        </w:rPr>
      </w:pPr>
      <w:r>
        <w:rPr>
          <w:rFonts w:hint="eastAsia" w:ascii="方正黑体_GBK" w:hAnsi="Times New Roman" w:eastAsia="方正黑体_GBK"/>
          <w:sz w:val="32"/>
          <w:szCs w:val="32"/>
        </w:rPr>
        <w:t>二、经营单位安全管理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rPr>
        <w:t>六</w:t>
      </w:r>
      <w:r>
        <w:rPr>
          <w:rFonts w:ascii="Times New Roman" w:hAnsi="Times New Roman" w:eastAsia="方正仿宋_GBK"/>
          <w:sz w:val="32"/>
          <w:szCs w:val="32"/>
        </w:rPr>
        <w:t>条 经营单位应取得工商营业执照。</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第七条</w:t>
      </w:r>
      <w:r>
        <w:rPr>
          <w:rFonts w:hint="eastAsia" w:ascii="Times New Roman" w:hAnsi="Times New Roman" w:eastAsia="方正仿宋_GBK"/>
          <w:sz w:val="32"/>
          <w:szCs w:val="32"/>
        </w:rPr>
        <w:t xml:space="preserve"> 经营单位所售的每批次无醇燃油，均应有生产单位提供的产品质量检测报告和</w:t>
      </w:r>
      <w:r>
        <w:rPr>
          <w:rFonts w:ascii="Times New Roman" w:hAnsi="Times New Roman" w:eastAsia="方正仿宋_GBK"/>
          <w:sz w:val="32"/>
          <w:szCs w:val="32"/>
        </w:rPr>
        <w:t>合格证。向</w:t>
      </w:r>
      <w:r>
        <w:rPr>
          <w:rFonts w:hint="eastAsia" w:ascii="Times New Roman" w:hAnsi="Times New Roman" w:eastAsia="方正仿宋_GBK"/>
          <w:sz w:val="32"/>
          <w:szCs w:val="32"/>
        </w:rPr>
        <w:t>使用单位</w:t>
      </w:r>
      <w:r>
        <w:rPr>
          <w:rFonts w:ascii="Times New Roman" w:hAnsi="Times New Roman" w:eastAsia="方正仿宋_GBK"/>
          <w:sz w:val="32"/>
          <w:szCs w:val="32"/>
        </w:rPr>
        <w:t>提供无醇燃油产品</w:t>
      </w:r>
      <w:r>
        <w:rPr>
          <w:rFonts w:hint="eastAsia" w:ascii="Times New Roman" w:hAnsi="Times New Roman" w:eastAsia="方正仿宋_GBK"/>
          <w:sz w:val="32"/>
          <w:szCs w:val="32"/>
        </w:rPr>
        <w:t>时，</w:t>
      </w:r>
      <w:r>
        <w:rPr>
          <w:rFonts w:ascii="Times New Roman" w:hAnsi="Times New Roman" w:eastAsia="方正仿宋_GBK"/>
          <w:sz w:val="32"/>
          <w:szCs w:val="32"/>
        </w:rPr>
        <w:t>质量检测报告和合格证应加盖本单位公章。</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rPr>
        <w:t>八</w:t>
      </w:r>
      <w:r>
        <w:rPr>
          <w:rFonts w:ascii="Times New Roman" w:hAnsi="Times New Roman" w:eastAsia="方正仿宋_GBK"/>
          <w:sz w:val="32"/>
          <w:szCs w:val="32"/>
        </w:rPr>
        <w:t>条 经营单位应向使用单位提供无醇燃油产品的安全使用说明书。</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rPr>
        <w:t>九</w:t>
      </w:r>
      <w:r>
        <w:rPr>
          <w:rFonts w:ascii="Times New Roman" w:hAnsi="Times New Roman" w:eastAsia="方正仿宋_GBK"/>
          <w:sz w:val="32"/>
          <w:szCs w:val="32"/>
        </w:rPr>
        <w:t>条 经营单位宜参照《化学品分类和标签规范第7部分：易燃液体》</w:t>
      </w:r>
      <w:r>
        <w:rPr>
          <w:rFonts w:hint="eastAsia" w:ascii="Times New Roman" w:hAnsi="Times New Roman" w:eastAsia="方正仿宋_GBK"/>
          <w:sz w:val="32"/>
          <w:szCs w:val="32"/>
        </w:rPr>
        <w:t>（</w:t>
      </w:r>
      <w:r>
        <w:rPr>
          <w:rFonts w:ascii="Times New Roman" w:hAnsi="Times New Roman" w:eastAsia="方正仿宋_GBK"/>
          <w:sz w:val="32"/>
          <w:szCs w:val="32"/>
        </w:rPr>
        <w:t>GB 30000.7</w:t>
      </w:r>
      <w:r>
        <w:rPr>
          <w:rFonts w:hint="eastAsia" w:ascii="Times New Roman" w:hAnsi="Times New Roman" w:eastAsia="方正仿宋_GBK"/>
          <w:sz w:val="32"/>
          <w:szCs w:val="32"/>
        </w:rPr>
        <w:t>-2013）</w:t>
      </w:r>
      <w:r>
        <w:rPr>
          <w:rFonts w:ascii="Times New Roman" w:hAnsi="Times New Roman" w:eastAsia="方正仿宋_GBK"/>
          <w:sz w:val="32"/>
          <w:szCs w:val="32"/>
        </w:rPr>
        <w:t>相关要求，在使用单位的燃料箱和管道上粘贴安全标签。</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经营单位</w:t>
      </w:r>
      <w:r>
        <w:rPr>
          <w:rFonts w:ascii="Times New Roman" w:hAnsi="Times New Roman" w:eastAsia="方正仿宋_GBK"/>
          <w:sz w:val="32"/>
          <w:szCs w:val="32"/>
        </w:rPr>
        <w:t>应核实使用单位的安全条件，保证燃料箱、燃烧器、灶具、管道等的安装和维修符合无醇燃油使用的安全要求。不得向不符合安全条件的使用单位提供无醇燃油。</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w:t>
      </w:r>
      <w:r>
        <w:rPr>
          <w:rFonts w:ascii="Times New Roman" w:hAnsi="Times New Roman" w:eastAsia="方正仿宋_GBK"/>
          <w:sz w:val="32"/>
          <w:szCs w:val="32"/>
        </w:rPr>
        <w:t>十</w:t>
      </w:r>
      <w:r>
        <w:rPr>
          <w:rFonts w:hint="eastAsia" w:ascii="Times New Roman" w:hAnsi="Times New Roman" w:eastAsia="方正仿宋_GBK"/>
          <w:sz w:val="32"/>
          <w:szCs w:val="32"/>
        </w:rPr>
        <w:t>一</w:t>
      </w:r>
      <w:r>
        <w:rPr>
          <w:rFonts w:ascii="Times New Roman" w:hAnsi="Times New Roman" w:eastAsia="方正仿宋_GBK"/>
          <w:sz w:val="32"/>
          <w:szCs w:val="32"/>
        </w:rPr>
        <w:t>条</w:t>
      </w:r>
      <w:r>
        <w:rPr>
          <w:rFonts w:hint="eastAsia" w:ascii="Times New Roman" w:hAnsi="Times New Roman" w:eastAsia="方正仿宋_GBK"/>
          <w:sz w:val="32"/>
          <w:szCs w:val="32"/>
        </w:rPr>
        <w:t xml:space="preserve"> 经营单位</w:t>
      </w:r>
      <w:r>
        <w:rPr>
          <w:rFonts w:ascii="Times New Roman" w:hAnsi="Times New Roman" w:eastAsia="方正仿宋_GBK"/>
          <w:sz w:val="32"/>
          <w:szCs w:val="32"/>
        </w:rPr>
        <w:t>应建立销售台账，对销售信息保留相应记录，保留时间不少于一年。</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第十二条 经营单位的</w:t>
      </w:r>
      <w:r>
        <w:rPr>
          <w:rFonts w:ascii="Times New Roman" w:hAnsi="Times New Roman" w:eastAsia="方正仿宋_GBK"/>
          <w:sz w:val="32"/>
          <w:szCs w:val="32"/>
        </w:rPr>
        <w:t>无醇燃油储存场所及相关设施应符合</w:t>
      </w:r>
      <w:r>
        <w:rPr>
          <w:rFonts w:hint="eastAsia" w:ascii="Times New Roman" w:hAnsi="Times New Roman" w:eastAsia="方正仿宋_GBK"/>
          <w:sz w:val="32"/>
          <w:szCs w:val="32"/>
        </w:rPr>
        <w:t>《建筑设计防火规范》（</w:t>
      </w:r>
      <w:r>
        <w:rPr>
          <w:rFonts w:ascii="Times New Roman" w:hAnsi="Times New Roman" w:eastAsia="方正仿宋_GBK"/>
          <w:sz w:val="32"/>
          <w:szCs w:val="32"/>
        </w:rPr>
        <w:t>GB 50016</w:t>
      </w:r>
      <w:r>
        <w:rPr>
          <w:rFonts w:hint="eastAsia" w:ascii="Times New Roman" w:hAnsi="Times New Roman" w:eastAsia="方正仿宋_GBK"/>
          <w:sz w:val="32"/>
          <w:szCs w:val="32"/>
        </w:rPr>
        <w:t>-2014）</w:t>
      </w:r>
      <w:r>
        <w:rPr>
          <w:rFonts w:ascii="Times New Roman" w:hAnsi="Times New Roman" w:eastAsia="方正仿宋_GBK"/>
          <w:sz w:val="32"/>
          <w:szCs w:val="32"/>
        </w:rPr>
        <w:t>、</w:t>
      </w:r>
      <w:r>
        <w:rPr>
          <w:rFonts w:hint="eastAsia" w:ascii="Times New Roman" w:hAnsi="Times New Roman" w:eastAsia="方正仿宋_GBK"/>
          <w:sz w:val="32"/>
          <w:szCs w:val="32"/>
        </w:rPr>
        <w:t>建筑物防雷设计规范（</w:t>
      </w:r>
      <w:r>
        <w:rPr>
          <w:rFonts w:ascii="Times New Roman" w:hAnsi="Times New Roman" w:eastAsia="方正仿宋_GBK"/>
          <w:sz w:val="32"/>
          <w:szCs w:val="32"/>
        </w:rPr>
        <w:t>GB 50057</w:t>
      </w:r>
      <w:r>
        <w:rPr>
          <w:rFonts w:hint="eastAsia" w:ascii="Times New Roman" w:hAnsi="Times New Roman" w:eastAsia="方正仿宋_GBK"/>
          <w:sz w:val="32"/>
          <w:szCs w:val="32"/>
        </w:rPr>
        <w:t>-2010）</w:t>
      </w:r>
      <w:r>
        <w:rPr>
          <w:rFonts w:ascii="Times New Roman" w:hAnsi="Times New Roman" w:eastAsia="方正仿宋_GBK"/>
          <w:sz w:val="32"/>
          <w:szCs w:val="32"/>
        </w:rPr>
        <w:t>、</w:t>
      </w:r>
      <w:r>
        <w:rPr>
          <w:rFonts w:hint="eastAsia" w:ascii="Times New Roman" w:hAnsi="Times New Roman" w:eastAsia="方正仿宋_GBK"/>
          <w:sz w:val="32"/>
          <w:szCs w:val="32"/>
        </w:rPr>
        <w:t>《消防给水及消火栓系统技术规范》（</w:t>
      </w:r>
      <w:r>
        <w:rPr>
          <w:rFonts w:ascii="Times New Roman" w:hAnsi="Times New Roman" w:eastAsia="方正仿宋_GBK"/>
          <w:sz w:val="32"/>
          <w:szCs w:val="32"/>
        </w:rPr>
        <w:t>GB 50974</w:t>
      </w:r>
      <w:r>
        <w:rPr>
          <w:rFonts w:hint="eastAsia" w:ascii="Times New Roman" w:hAnsi="Times New Roman" w:eastAsia="方正仿宋_GBK"/>
          <w:sz w:val="32"/>
          <w:szCs w:val="32"/>
        </w:rPr>
        <w:t>-2014）</w:t>
      </w:r>
      <w:r>
        <w:rPr>
          <w:rFonts w:ascii="Times New Roman" w:hAnsi="Times New Roman" w:eastAsia="方正仿宋_GBK"/>
          <w:sz w:val="32"/>
          <w:szCs w:val="32"/>
        </w:rPr>
        <w:t>、</w:t>
      </w:r>
      <w:r>
        <w:rPr>
          <w:rFonts w:hint="eastAsia" w:ascii="Times New Roman" w:hAnsi="Times New Roman" w:eastAsia="方正仿宋_GBK"/>
          <w:sz w:val="32"/>
          <w:szCs w:val="32"/>
        </w:rPr>
        <w:t>《建筑灭火器配置设计规范》（</w:t>
      </w:r>
      <w:r>
        <w:rPr>
          <w:rFonts w:ascii="Times New Roman" w:hAnsi="Times New Roman" w:eastAsia="方正仿宋_GBK"/>
          <w:sz w:val="32"/>
          <w:szCs w:val="32"/>
        </w:rPr>
        <w:t>GB 50140</w:t>
      </w:r>
      <w:r>
        <w:rPr>
          <w:rFonts w:hint="eastAsia" w:ascii="Times New Roman" w:hAnsi="Times New Roman" w:eastAsia="方正仿宋_GBK"/>
          <w:sz w:val="32"/>
          <w:szCs w:val="32"/>
        </w:rPr>
        <w:t>-2005）</w:t>
      </w:r>
      <w:r>
        <w:rPr>
          <w:rFonts w:ascii="Times New Roman" w:hAnsi="Times New Roman" w:eastAsia="方正仿宋_GBK"/>
          <w:sz w:val="32"/>
          <w:szCs w:val="32"/>
        </w:rPr>
        <w:t>等规定。</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第十三条 </w:t>
      </w:r>
      <w:r>
        <w:rPr>
          <w:rFonts w:ascii="Times New Roman" w:hAnsi="Times New Roman" w:eastAsia="方正仿宋_GBK"/>
          <w:sz w:val="32"/>
          <w:szCs w:val="32"/>
        </w:rPr>
        <w:t>无醇燃油宜用储罐储存，宜设置单罐储存量不小于10m³的储罐。储罐防火间距、防火堤、消防设施的设置应符合</w:t>
      </w:r>
      <w:r>
        <w:rPr>
          <w:rFonts w:hint="eastAsia" w:ascii="Times New Roman" w:hAnsi="Times New Roman" w:eastAsia="方正仿宋_GBK"/>
          <w:sz w:val="32"/>
          <w:szCs w:val="32"/>
        </w:rPr>
        <w:t>《建筑设计防火规范》（</w:t>
      </w:r>
      <w:r>
        <w:rPr>
          <w:rFonts w:ascii="Times New Roman" w:hAnsi="Times New Roman" w:eastAsia="方正仿宋_GBK"/>
          <w:sz w:val="32"/>
          <w:szCs w:val="32"/>
        </w:rPr>
        <w:t>GB 50016</w:t>
      </w:r>
      <w:r>
        <w:rPr>
          <w:rFonts w:hint="eastAsia" w:ascii="Times New Roman" w:hAnsi="Times New Roman" w:eastAsia="方正仿宋_GBK"/>
          <w:sz w:val="32"/>
          <w:szCs w:val="32"/>
        </w:rPr>
        <w:t>-2014）</w:t>
      </w:r>
      <w:r>
        <w:rPr>
          <w:rFonts w:ascii="Times New Roman" w:hAnsi="Times New Roman" w:eastAsia="方正仿宋_GBK"/>
          <w:sz w:val="32"/>
          <w:szCs w:val="32"/>
        </w:rPr>
        <w:t>、</w:t>
      </w:r>
      <w:r>
        <w:rPr>
          <w:rFonts w:hint="eastAsia" w:ascii="Times New Roman" w:hAnsi="Times New Roman" w:eastAsia="方正仿宋_GBK"/>
          <w:sz w:val="32"/>
          <w:szCs w:val="32"/>
        </w:rPr>
        <w:t>建筑物防雷设计规范（</w:t>
      </w:r>
      <w:r>
        <w:rPr>
          <w:rFonts w:ascii="Times New Roman" w:hAnsi="Times New Roman" w:eastAsia="方正仿宋_GBK"/>
          <w:sz w:val="32"/>
          <w:szCs w:val="32"/>
        </w:rPr>
        <w:t>GB 50057</w:t>
      </w:r>
      <w:r>
        <w:rPr>
          <w:rFonts w:hint="eastAsia" w:ascii="Times New Roman" w:hAnsi="Times New Roman" w:eastAsia="方正仿宋_GBK"/>
          <w:sz w:val="32"/>
          <w:szCs w:val="32"/>
        </w:rPr>
        <w:t>-2010）</w:t>
      </w:r>
      <w:r>
        <w:rPr>
          <w:rFonts w:ascii="Times New Roman" w:hAnsi="Times New Roman" w:eastAsia="方正仿宋_GBK"/>
          <w:sz w:val="32"/>
          <w:szCs w:val="32"/>
        </w:rPr>
        <w:t>、</w:t>
      </w:r>
      <w:r>
        <w:rPr>
          <w:rFonts w:hint="eastAsia" w:ascii="Times New Roman" w:hAnsi="Times New Roman" w:eastAsia="方正仿宋_GBK"/>
          <w:sz w:val="32"/>
          <w:szCs w:val="32"/>
        </w:rPr>
        <w:t>《消防给水及消火栓系统技术规范》（</w:t>
      </w:r>
      <w:r>
        <w:rPr>
          <w:rFonts w:ascii="Times New Roman" w:hAnsi="Times New Roman" w:eastAsia="方正仿宋_GBK"/>
          <w:sz w:val="32"/>
          <w:szCs w:val="32"/>
        </w:rPr>
        <w:t>GB 50974</w:t>
      </w:r>
      <w:r>
        <w:rPr>
          <w:rFonts w:hint="eastAsia" w:ascii="Times New Roman" w:hAnsi="Times New Roman" w:eastAsia="方正仿宋_GBK"/>
          <w:sz w:val="32"/>
          <w:szCs w:val="32"/>
        </w:rPr>
        <w:t>-2014）</w:t>
      </w:r>
      <w:r>
        <w:rPr>
          <w:rFonts w:ascii="Times New Roman" w:hAnsi="Times New Roman" w:eastAsia="方正仿宋_GBK"/>
          <w:sz w:val="32"/>
          <w:szCs w:val="32"/>
        </w:rPr>
        <w:t>、</w:t>
      </w:r>
      <w:r>
        <w:rPr>
          <w:rFonts w:hint="eastAsia" w:ascii="Times New Roman" w:hAnsi="Times New Roman" w:eastAsia="方正仿宋_GBK"/>
          <w:sz w:val="32"/>
          <w:szCs w:val="32"/>
        </w:rPr>
        <w:t>《建筑灭火器配置设计规范》（</w:t>
      </w:r>
      <w:r>
        <w:rPr>
          <w:rFonts w:ascii="Times New Roman" w:hAnsi="Times New Roman" w:eastAsia="方正仿宋_GBK"/>
          <w:sz w:val="32"/>
          <w:szCs w:val="32"/>
        </w:rPr>
        <w:t>GB 50140</w:t>
      </w:r>
      <w:r>
        <w:rPr>
          <w:rFonts w:hint="eastAsia" w:ascii="Times New Roman" w:hAnsi="Times New Roman" w:eastAsia="方正仿宋_GBK"/>
          <w:sz w:val="32"/>
          <w:szCs w:val="32"/>
        </w:rPr>
        <w:t>-2005）等规定</w:t>
      </w:r>
      <w:r>
        <w:rPr>
          <w:rFonts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第十四条 经营单位</w:t>
      </w:r>
      <w:r>
        <w:rPr>
          <w:rFonts w:ascii="Times New Roman" w:hAnsi="Times New Roman" w:eastAsia="方正仿宋_GBK"/>
          <w:sz w:val="32"/>
          <w:szCs w:val="32"/>
        </w:rPr>
        <w:t>采用桶装仓库</w:t>
      </w:r>
      <w:r>
        <w:rPr>
          <w:rFonts w:hint="eastAsia" w:ascii="Times New Roman" w:hAnsi="Times New Roman" w:eastAsia="方正仿宋_GBK"/>
          <w:sz w:val="32"/>
          <w:szCs w:val="32"/>
        </w:rPr>
        <w:t>或者</w:t>
      </w:r>
      <w:r>
        <w:rPr>
          <w:rFonts w:ascii="Times New Roman" w:hAnsi="Times New Roman" w:eastAsia="方正仿宋_GBK"/>
          <w:sz w:val="32"/>
          <w:szCs w:val="32"/>
        </w:rPr>
        <w:t>半露天堆场等形式储存无醇燃油时，储存建（构）筑耐火等级、防火间距、防雷防静电设施、消防设施等应满足</w:t>
      </w:r>
      <w:r>
        <w:rPr>
          <w:rFonts w:hint="eastAsia" w:ascii="Times New Roman" w:hAnsi="Times New Roman" w:eastAsia="方正仿宋_GBK"/>
          <w:sz w:val="32"/>
          <w:szCs w:val="32"/>
        </w:rPr>
        <w:t>《建筑设计防火规范》（</w:t>
      </w:r>
      <w:r>
        <w:rPr>
          <w:rFonts w:ascii="Times New Roman" w:hAnsi="Times New Roman" w:eastAsia="方正仿宋_GBK"/>
          <w:sz w:val="32"/>
          <w:szCs w:val="32"/>
        </w:rPr>
        <w:t>GB 50016</w:t>
      </w:r>
      <w:r>
        <w:rPr>
          <w:rFonts w:hint="eastAsia" w:ascii="Times New Roman" w:hAnsi="Times New Roman" w:eastAsia="方正仿宋_GBK"/>
          <w:sz w:val="32"/>
          <w:szCs w:val="32"/>
        </w:rPr>
        <w:t>-2014）</w:t>
      </w:r>
      <w:r>
        <w:rPr>
          <w:rFonts w:ascii="Times New Roman" w:hAnsi="Times New Roman" w:eastAsia="方正仿宋_GBK"/>
          <w:sz w:val="32"/>
          <w:szCs w:val="32"/>
        </w:rPr>
        <w:t>、</w:t>
      </w:r>
      <w:r>
        <w:rPr>
          <w:rFonts w:hint="eastAsia" w:ascii="Times New Roman" w:hAnsi="Times New Roman" w:eastAsia="方正仿宋_GBK"/>
          <w:sz w:val="32"/>
          <w:szCs w:val="32"/>
        </w:rPr>
        <w:t>建筑物防雷设计规范（</w:t>
      </w:r>
      <w:r>
        <w:rPr>
          <w:rFonts w:ascii="Times New Roman" w:hAnsi="Times New Roman" w:eastAsia="方正仿宋_GBK"/>
          <w:sz w:val="32"/>
          <w:szCs w:val="32"/>
        </w:rPr>
        <w:t>GB 50057</w:t>
      </w:r>
      <w:r>
        <w:rPr>
          <w:rFonts w:hint="eastAsia" w:ascii="Times New Roman" w:hAnsi="Times New Roman" w:eastAsia="方正仿宋_GBK"/>
          <w:sz w:val="32"/>
          <w:szCs w:val="32"/>
        </w:rPr>
        <w:t>-2010）</w:t>
      </w:r>
      <w:r>
        <w:rPr>
          <w:rFonts w:ascii="Times New Roman" w:hAnsi="Times New Roman" w:eastAsia="方正仿宋_GBK"/>
          <w:sz w:val="32"/>
          <w:szCs w:val="32"/>
        </w:rPr>
        <w:t>、</w:t>
      </w:r>
      <w:r>
        <w:rPr>
          <w:rFonts w:hint="eastAsia" w:ascii="Times New Roman" w:hAnsi="Times New Roman" w:eastAsia="方正仿宋_GBK"/>
          <w:sz w:val="32"/>
          <w:szCs w:val="32"/>
        </w:rPr>
        <w:t>《消防给水及消火栓系统技术规范》（</w:t>
      </w:r>
      <w:r>
        <w:rPr>
          <w:rFonts w:ascii="Times New Roman" w:hAnsi="Times New Roman" w:eastAsia="方正仿宋_GBK"/>
          <w:sz w:val="32"/>
          <w:szCs w:val="32"/>
        </w:rPr>
        <w:t>GB 50974</w:t>
      </w:r>
      <w:r>
        <w:rPr>
          <w:rFonts w:hint="eastAsia" w:ascii="Times New Roman" w:hAnsi="Times New Roman" w:eastAsia="方正仿宋_GBK"/>
          <w:sz w:val="32"/>
          <w:szCs w:val="32"/>
        </w:rPr>
        <w:t>-2014）</w:t>
      </w:r>
      <w:r>
        <w:rPr>
          <w:rFonts w:ascii="Times New Roman" w:hAnsi="Times New Roman" w:eastAsia="方正仿宋_GBK"/>
          <w:sz w:val="32"/>
          <w:szCs w:val="32"/>
        </w:rPr>
        <w:t>、</w:t>
      </w:r>
      <w:r>
        <w:rPr>
          <w:rFonts w:hint="eastAsia" w:ascii="Times New Roman" w:hAnsi="Times New Roman" w:eastAsia="方正仿宋_GBK"/>
          <w:sz w:val="32"/>
          <w:szCs w:val="32"/>
        </w:rPr>
        <w:t>《建筑灭火器配置设计规范》（</w:t>
      </w:r>
      <w:r>
        <w:rPr>
          <w:rFonts w:ascii="Times New Roman" w:hAnsi="Times New Roman" w:eastAsia="方正仿宋_GBK"/>
          <w:sz w:val="32"/>
          <w:szCs w:val="32"/>
        </w:rPr>
        <w:t>GB 50140</w:t>
      </w:r>
      <w:r>
        <w:rPr>
          <w:rFonts w:hint="eastAsia" w:ascii="Times New Roman" w:hAnsi="Times New Roman" w:eastAsia="方正仿宋_GBK"/>
          <w:sz w:val="32"/>
          <w:szCs w:val="32"/>
        </w:rPr>
        <w:t>-2005）等</w:t>
      </w:r>
      <w:r>
        <w:rPr>
          <w:rFonts w:ascii="Times New Roman" w:hAnsi="Times New Roman" w:eastAsia="方正仿宋_GBK"/>
          <w:sz w:val="32"/>
          <w:szCs w:val="32"/>
        </w:rPr>
        <w:t>规定，并具有防止液体流散的措施。</w:t>
      </w:r>
    </w:p>
    <w:p>
      <w:pPr>
        <w:spacing w:line="580" w:lineRule="exact"/>
        <w:ind w:firstLine="640" w:firstLineChars="200"/>
        <w:rPr>
          <w:rFonts w:ascii="方正黑体_GBK" w:hAnsi="Times New Roman" w:eastAsia="方正黑体_GBK"/>
          <w:sz w:val="32"/>
          <w:szCs w:val="32"/>
        </w:rPr>
      </w:pPr>
      <w:r>
        <w:rPr>
          <w:rFonts w:hint="eastAsia" w:ascii="Times New Roman" w:hAnsi="Times New Roman" w:eastAsia="方正仿宋_GBK"/>
          <w:sz w:val="32"/>
          <w:szCs w:val="32"/>
        </w:rPr>
        <w:t>第十五条 无醇燃油的配送运输、装卸由经营单位负责。</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第十六条 经营单位</w:t>
      </w:r>
      <w:r>
        <w:rPr>
          <w:rFonts w:ascii="Times New Roman" w:hAnsi="Times New Roman" w:eastAsia="方正仿宋_GBK"/>
          <w:sz w:val="32"/>
          <w:szCs w:val="32"/>
        </w:rPr>
        <w:t>应采用油罐车、厢式货车等专用工具运输无醇燃油，不得与其他货物混装。</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第十七条 </w:t>
      </w:r>
      <w:r>
        <w:rPr>
          <w:rFonts w:ascii="Times New Roman" w:hAnsi="Times New Roman" w:eastAsia="方正仿宋_GBK"/>
          <w:sz w:val="32"/>
          <w:szCs w:val="32"/>
        </w:rPr>
        <w:t>厢式货车宜符合</w:t>
      </w:r>
      <w:r>
        <w:rPr>
          <w:rFonts w:hint="eastAsia" w:ascii="Times New Roman" w:hAnsi="Times New Roman" w:eastAsia="方正仿宋_GBK"/>
          <w:sz w:val="32"/>
          <w:szCs w:val="32"/>
        </w:rPr>
        <w:t>《危险货物运输包装通用技术条件》（</w:t>
      </w:r>
      <w:r>
        <w:rPr>
          <w:rFonts w:ascii="Times New Roman" w:hAnsi="Times New Roman" w:eastAsia="方正仿宋_GBK"/>
          <w:sz w:val="32"/>
          <w:szCs w:val="32"/>
        </w:rPr>
        <w:t>GB 12463</w:t>
      </w:r>
      <w:r>
        <w:rPr>
          <w:rFonts w:hint="eastAsia" w:ascii="Times New Roman" w:hAnsi="Times New Roman" w:eastAsia="方正仿宋_GBK"/>
          <w:sz w:val="32"/>
          <w:szCs w:val="32"/>
        </w:rPr>
        <w:t>-2009）</w:t>
      </w:r>
      <w:r>
        <w:rPr>
          <w:rFonts w:ascii="Times New Roman" w:hAnsi="Times New Roman" w:eastAsia="方正仿宋_GBK"/>
          <w:sz w:val="32"/>
          <w:szCs w:val="32"/>
        </w:rPr>
        <w:t>，并配备灭火器材、堵漏工具及个人防护装备。</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第十八条 </w:t>
      </w:r>
      <w:r>
        <w:rPr>
          <w:rFonts w:ascii="Times New Roman" w:hAnsi="Times New Roman" w:eastAsia="方正仿宋_GBK"/>
          <w:sz w:val="32"/>
          <w:szCs w:val="32"/>
        </w:rPr>
        <w:t>无醇燃油运输车辆应设置安全标识，宜参照 《化学品分类和标签规范第7部分：易燃液体》</w:t>
      </w:r>
      <w:r>
        <w:rPr>
          <w:rFonts w:hint="eastAsia" w:ascii="Times New Roman" w:hAnsi="Times New Roman" w:eastAsia="方正仿宋_GBK"/>
          <w:sz w:val="32"/>
          <w:szCs w:val="32"/>
        </w:rPr>
        <w:t>（</w:t>
      </w:r>
      <w:r>
        <w:rPr>
          <w:rFonts w:ascii="Times New Roman" w:hAnsi="Times New Roman" w:eastAsia="方正仿宋_GBK"/>
          <w:sz w:val="32"/>
          <w:szCs w:val="32"/>
        </w:rPr>
        <w:t>GB 30000.7</w:t>
      </w:r>
      <w:r>
        <w:rPr>
          <w:rFonts w:hint="eastAsia" w:ascii="Times New Roman" w:hAnsi="Times New Roman" w:eastAsia="方正仿宋_GBK"/>
          <w:sz w:val="32"/>
          <w:szCs w:val="32"/>
        </w:rPr>
        <w:t>-2013）</w:t>
      </w:r>
      <w:r>
        <w:rPr>
          <w:rFonts w:ascii="Times New Roman" w:hAnsi="Times New Roman" w:eastAsia="方正仿宋_GBK"/>
          <w:sz w:val="32"/>
          <w:szCs w:val="32"/>
        </w:rPr>
        <w:t>中E.4示例标注。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第十九条</w:t>
      </w:r>
      <w:r>
        <w:rPr>
          <w:rFonts w:ascii="Times New Roman" w:hAnsi="Times New Roman" w:eastAsia="方正仿宋_GBK"/>
          <w:sz w:val="32"/>
          <w:szCs w:val="32"/>
        </w:rPr>
        <w:t xml:space="preserve"> 无醇燃油装卸车应实行双人作业，并严格执行操作规程。</w:t>
      </w:r>
    </w:p>
    <w:p>
      <w:pPr>
        <w:spacing w:line="580" w:lineRule="exact"/>
        <w:ind w:firstLine="640" w:firstLineChars="200"/>
        <w:rPr>
          <w:rFonts w:ascii="方正黑体_GBK" w:hAnsi="Times New Roman" w:eastAsia="方正黑体_GBK"/>
          <w:sz w:val="32"/>
          <w:szCs w:val="32"/>
        </w:rPr>
      </w:pPr>
      <w:r>
        <w:rPr>
          <w:rFonts w:hint="eastAsia" w:ascii="Times New Roman" w:hAnsi="Times New Roman" w:eastAsia="方正仿宋_GBK"/>
          <w:sz w:val="32"/>
          <w:szCs w:val="32"/>
        </w:rPr>
        <w:t>第二十条 不得对无醇燃油进行勾兑、混配等任何方式的二次加工。</w:t>
      </w:r>
    </w:p>
    <w:p>
      <w:pPr>
        <w:spacing w:before="156" w:beforeLines="50" w:after="156" w:afterLines="50" w:line="580" w:lineRule="exact"/>
        <w:jc w:val="center"/>
        <w:rPr>
          <w:rFonts w:ascii="方正黑体_GBK" w:hAnsi="Times New Roman" w:eastAsia="方正黑体_GBK"/>
          <w:sz w:val="32"/>
          <w:szCs w:val="32"/>
        </w:rPr>
      </w:pPr>
      <w:r>
        <w:rPr>
          <w:rFonts w:hint="eastAsia" w:ascii="方正黑体_GBK" w:hAnsi="Times New Roman" w:eastAsia="方正黑体_GBK"/>
          <w:sz w:val="32"/>
          <w:szCs w:val="32"/>
        </w:rPr>
        <w:t>三、使用单位安全管理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第二十一条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使用单位应在取得工商营业执照的经营单位购买无醇燃油，并与经营单位签订购买协议。</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第二十二条 灶具应符合《商用燃油灶具通用技术条件》 （DB51/T 14312-2012），并经安装合格后方能投入使用。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第二十三条 燃料箱应远离明火或灶具，宜参照《建筑防火通用规范》（GB55037-2022），设置在单独房间，油箱的下部应设置防止油品流散的设施。室外存放时，应落实防晒和保温措施，不得在地面及附近敷设任何永久或临时的电气线路及设备。</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第二十</w:t>
      </w:r>
      <w:r>
        <w:rPr>
          <w:rFonts w:hint="eastAsia" w:ascii="Times New Roman" w:hAnsi="Times New Roman" w:eastAsia="方正仿宋_GBK"/>
          <w:sz w:val="32"/>
          <w:szCs w:val="32"/>
        </w:rPr>
        <w:t>四</w:t>
      </w:r>
      <w:r>
        <w:rPr>
          <w:rFonts w:ascii="Times New Roman" w:hAnsi="Times New Roman" w:eastAsia="方正仿宋_GBK"/>
          <w:sz w:val="32"/>
          <w:szCs w:val="32"/>
        </w:rPr>
        <w:t>条</w:t>
      </w:r>
      <w:r>
        <w:rPr>
          <w:rFonts w:hint="eastAsia" w:ascii="Times New Roman" w:hAnsi="Times New Roman" w:eastAsia="方正仿宋_GBK"/>
          <w:sz w:val="32"/>
          <w:szCs w:val="32"/>
        </w:rPr>
        <w:t xml:space="preserve"> 燃料箱宜釆用金属或具有防静电功能的P</w:t>
      </w:r>
      <w:r>
        <w:rPr>
          <w:rFonts w:ascii="Times New Roman" w:hAnsi="Times New Roman" w:eastAsia="方正仿宋_GBK"/>
          <w:sz w:val="32"/>
          <w:szCs w:val="32"/>
        </w:rPr>
        <w:t>E</w:t>
      </w:r>
      <w:r>
        <w:rPr>
          <w:rFonts w:hint="eastAsia" w:ascii="Times New Roman" w:hAnsi="Times New Roman" w:eastAsia="方正仿宋_GBK"/>
          <w:sz w:val="32"/>
          <w:szCs w:val="32"/>
        </w:rPr>
        <w:t>材质闭式容器，容积应不大于</w:t>
      </w:r>
      <w:r>
        <w:rPr>
          <w:rFonts w:ascii="Times New Roman" w:hAnsi="Times New Roman" w:eastAsia="方正仿宋_GBK"/>
          <w:sz w:val="32"/>
          <w:szCs w:val="32"/>
        </w:rPr>
        <w:t>1m³</w:t>
      </w:r>
      <w:r>
        <w:rPr>
          <w:rFonts w:hint="eastAsia" w:ascii="Times New Roman" w:hAnsi="Times New Roman" w:eastAsia="方正仿宋_GBK"/>
          <w:sz w:val="32"/>
          <w:szCs w:val="32"/>
        </w:rPr>
        <w:t>，储存液位高度不得超过容积的9</w:t>
      </w:r>
      <w:r>
        <w:rPr>
          <w:rFonts w:ascii="Times New Roman" w:hAnsi="Times New Roman" w:eastAsia="方正仿宋_GBK"/>
          <w:sz w:val="32"/>
          <w:szCs w:val="32"/>
        </w:rPr>
        <w:t>0%</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第二十五条 燃料箱应设置液位显示装置，液位显示应釆用有防护套的玻璃管液位计等装置。</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第二十六条 燃料箱应设置专门的进油口或进油管道，并采取密闭式进油。不得采用倾倒等不安全方式进油。</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第二十七条 连接燃料箱与灶具的燃油管道应选用适用厨房燃油的材质。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第二十八条 燃油管道应设置截止阀，阀门连接处应选用防泄漏、防溶胀的密封材料。</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第二十九条 燃料系统的管路、接头等应确保无液、气泄漏。</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第三十条 燃料管道穿透墙壁或楼板时，应在管道外敷设套管，管道与套管间应填塞阻燃材料。</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第三十一条 燃料管道严禁从任何无使用需求的室内通过。</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第三十二条 使用单位储油设施及灶具应与燃油类型、成分相符，不得擅自变更燃油品种或改装储油设施和灶具；若燃油类型、成分改变时，应经无醇燃油经营单位重新确认其适用性、安全性。</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第三十三条 燃料储存间和使用场所应具备良好的通风条件。</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第三十四条 使用场地应按《建筑设计防火规范》（</w:t>
      </w:r>
      <w:r>
        <w:rPr>
          <w:rFonts w:ascii="Times New Roman" w:hAnsi="Times New Roman" w:eastAsia="方正仿宋_GBK"/>
          <w:sz w:val="32"/>
          <w:szCs w:val="32"/>
        </w:rPr>
        <w:t>GB 50016</w:t>
      </w:r>
      <w:r>
        <w:rPr>
          <w:rFonts w:hint="eastAsia" w:ascii="Times New Roman" w:hAnsi="Times New Roman" w:eastAsia="方正仿宋_GBK"/>
          <w:sz w:val="32"/>
          <w:szCs w:val="32"/>
        </w:rPr>
        <w:t>-2014）要求设置安全出口。</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第三十五条 使用场地应按《建筑灭火器配置设计规范》（</w:t>
      </w:r>
      <w:r>
        <w:rPr>
          <w:rFonts w:ascii="Times New Roman" w:hAnsi="Times New Roman" w:eastAsia="方正仿宋_GBK"/>
          <w:sz w:val="32"/>
          <w:szCs w:val="32"/>
        </w:rPr>
        <w:t>GB 50140</w:t>
      </w:r>
      <w:r>
        <w:rPr>
          <w:rFonts w:hint="eastAsia" w:ascii="Times New Roman" w:hAnsi="Times New Roman" w:eastAsia="方正仿宋_GBK"/>
          <w:sz w:val="32"/>
          <w:szCs w:val="32"/>
        </w:rPr>
        <w:t>-2005）要求配备灭火器，宜配备消防沙、灭火毯等消防设施。</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第三十六条 严禁将无醇燃油和其他燃料混用。</w:t>
      </w:r>
    </w:p>
    <w:p>
      <w:pPr>
        <w:spacing w:before="156" w:beforeLines="50" w:after="156" w:afterLines="50" w:line="580" w:lineRule="exact"/>
        <w:jc w:val="center"/>
        <w:rPr>
          <w:rFonts w:ascii="方正黑体_GBK" w:hAnsi="Times New Roman" w:eastAsia="方正黑体_GBK"/>
          <w:sz w:val="32"/>
          <w:szCs w:val="32"/>
        </w:rPr>
      </w:pPr>
      <w:r>
        <w:rPr>
          <w:rFonts w:hint="eastAsia" w:ascii="方正黑体_GBK" w:hAnsi="Times New Roman" w:eastAsia="方正黑体_GBK"/>
          <w:sz w:val="32"/>
          <w:szCs w:val="32"/>
        </w:rPr>
        <w:t>四、安全与应急管理</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第三十七条 经营单位负责人应具备无醇燃油经营相应的安全生产知识和管理能力。</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第三十八条 经营单位应制定无醇燃油装卸、储存、运输及使用安全操作规程，并对操作人员和装卸人员进行专门安全培训。</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第三十九条 经营单位应向使用单位提供无醇燃油使用安全操作规程，并培训、指导使用单位正确操作。</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第四十条 经营单位应按《生产经营单位生产安全事故应急预案编制导则 》（GB/T 29639-2020） 要求制定泄漏、火灾等事故应急救援预案或现场处置方案，配备必要的应急救援物资；并定期组织演练，保留演练记录。</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第四十一条 使用单位人员应具备无醇燃油安全使用的基本知识，具备安全操作及应急处置能力，并严格按安全操作规程操作。</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第四十二条 使用单位应对消防、应急救援器材定期维护保养。</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第四十三条 使用单位应定期对燃料箱、灶具和管道等进行安全检查，严禁使用存在安全问题的设备。</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第四十四条 使用单位应定期对设备进行维护，严禁在灶具使用过程中进行维护。</w:t>
      </w:r>
    </w:p>
    <w:p>
      <w:pPr>
        <w:spacing w:line="580" w:lineRule="exact"/>
        <w:jc w:val="center"/>
        <w:rPr>
          <w:rFonts w:hint="eastAsia" w:ascii="方正黑体_GBK" w:hAnsi="Times New Roman" w:eastAsia="方正黑体_GBK"/>
          <w:sz w:val="32"/>
          <w:szCs w:val="32"/>
        </w:rPr>
      </w:pPr>
    </w:p>
    <w:p>
      <w:pPr>
        <w:spacing w:line="580" w:lineRule="exact"/>
        <w:jc w:val="center"/>
        <w:rPr>
          <w:rFonts w:ascii="方正黑体_GBK" w:hAnsi="Times New Roman" w:eastAsia="方正黑体_GBK"/>
          <w:sz w:val="32"/>
          <w:szCs w:val="32"/>
        </w:rPr>
      </w:pPr>
      <w:bookmarkStart w:id="0" w:name="_GoBack"/>
      <w:bookmarkEnd w:id="0"/>
      <w:r>
        <w:rPr>
          <w:rFonts w:hint="eastAsia" w:ascii="方正黑体_GBK" w:hAnsi="Times New Roman" w:eastAsia="方正黑体_GBK"/>
          <w:sz w:val="32"/>
          <w:szCs w:val="32"/>
        </w:rPr>
        <w:t>五、附则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rPr>
        <w:t>四十五</w:t>
      </w:r>
      <w:r>
        <w:rPr>
          <w:rFonts w:ascii="Times New Roman" w:hAnsi="Times New Roman" w:eastAsia="方正仿宋_GBK"/>
          <w:sz w:val="32"/>
          <w:szCs w:val="32"/>
        </w:rPr>
        <w:t>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本规范最终解释权归安全生产委员会办公室所有。</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rPr>
        <w:t>四十六</w:t>
      </w:r>
      <w:r>
        <w:rPr>
          <w:rFonts w:ascii="Times New Roman" w:hAnsi="Times New Roman" w:eastAsia="方正仿宋_GBK"/>
          <w:sz w:val="32"/>
          <w:szCs w:val="32"/>
        </w:rPr>
        <w:t>条</w:t>
      </w:r>
      <w:r>
        <w:rPr>
          <w:rFonts w:hint="eastAsia" w:ascii="Times New Roman" w:hAnsi="Times New Roman" w:eastAsia="方正仿宋_GBK"/>
          <w:sz w:val="32"/>
          <w:szCs w:val="32"/>
        </w:rPr>
        <w:t xml:space="preserve"> 本规范自印发之日起试行2年。</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第四十七条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本规范试行期间，若国家</w:t>
      </w:r>
      <w:r>
        <w:rPr>
          <w:rFonts w:hint="eastAsia" w:ascii="Times New Roman" w:hAnsi="Times New Roman" w:eastAsia="方正仿宋_GBK"/>
          <w:sz w:val="32"/>
          <w:szCs w:val="32"/>
        </w:rPr>
        <w:t>和省对无醇燃油管理出台新规定的，则从其规定。</w:t>
      </w:r>
    </w:p>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ascii="Times New Roman" w:hAnsi="Times New Roman"/>
                              <w:sz w:val="28"/>
                              <w:szCs w:val="44"/>
                            </w:rPr>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3</w:t>
                          </w:r>
                          <w:r>
                            <w:rPr>
                              <w:rFonts w:ascii="Times New Roman" w:hAnsi="Times New Roman"/>
                              <w:sz w:val="28"/>
                              <w:szCs w:val="44"/>
                            </w:rPr>
                            <w:fldChar w:fldCharType="end"/>
                          </w:r>
                          <w:r>
                            <w:rPr>
                              <w:rFonts w:ascii="Times New Roman" w:hAnsi="Times New Roman"/>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ind w:left="210" w:leftChars="100" w:right="210" w:rightChars="100"/>
                      <w:rPr>
                        <w:rFonts w:ascii="Times New Roman" w:hAnsi="Times New Roman"/>
                        <w:sz w:val="28"/>
                        <w:szCs w:val="44"/>
                      </w:rPr>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3</w:t>
                    </w:r>
                    <w:r>
                      <w:rPr>
                        <w:rFonts w:ascii="Times New Roman" w:hAnsi="Times New Roman"/>
                        <w:sz w:val="28"/>
                        <w:szCs w:val="44"/>
                      </w:rPr>
                      <w:fldChar w:fldCharType="end"/>
                    </w:r>
                    <w:r>
                      <w:rPr>
                        <w:rFonts w:ascii="Times New Roman" w:hAnsi="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iZTAyNTE0NjdiZjYxOWY0NjBjOTgwODEzZGI1N2MifQ=="/>
  </w:docVars>
  <w:rsids>
    <w:rsidRoot w:val="005C5B76"/>
    <w:rsid w:val="003F2924"/>
    <w:rsid w:val="005C5B76"/>
    <w:rsid w:val="0081008F"/>
    <w:rsid w:val="00821F7A"/>
    <w:rsid w:val="00A37D54"/>
    <w:rsid w:val="00B604DC"/>
    <w:rsid w:val="042D4278"/>
    <w:rsid w:val="0F226338"/>
    <w:rsid w:val="111B5623"/>
    <w:rsid w:val="146330CC"/>
    <w:rsid w:val="157178A8"/>
    <w:rsid w:val="164F31C5"/>
    <w:rsid w:val="190F3329"/>
    <w:rsid w:val="195B2010"/>
    <w:rsid w:val="1DBA4137"/>
    <w:rsid w:val="1EC4220F"/>
    <w:rsid w:val="24A310A8"/>
    <w:rsid w:val="266320C3"/>
    <w:rsid w:val="271353F2"/>
    <w:rsid w:val="2D4B2B08"/>
    <w:rsid w:val="33742B8C"/>
    <w:rsid w:val="37306DC9"/>
    <w:rsid w:val="39F14F2D"/>
    <w:rsid w:val="45B46040"/>
    <w:rsid w:val="492E4DA7"/>
    <w:rsid w:val="4BC925F1"/>
    <w:rsid w:val="4D353955"/>
    <w:rsid w:val="52E45BBC"/>
    <w:rsid w:val="53EA4B51"/>
    <w:rsid w:val="577D5787"/>
    <w:rsid w:val="589D08B8"/>
    <w:rsid w:val="5D877F6E"/>
    <w:rsid w:val="5FD963BF"/>
    <w:rsid w:val="626F35C2"/>
    <w:rsid w:val="62EA4291"/>
    <w:rsid w:val="6AB75C24"/>
    <w:rsid w:val="6C933351"/>
    <w:rsid w:val="6EF033EC"/>
    <w:rsid w:val="6F2319BD"/>
    <w:rsid w:val="70161521"/>
    <w:rsid w:val="713F07AB"/>
    <w:rsid w:val="751420DF"/>
    <w:rsid w:val="7A12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Body Text Indent"/>
    <w:basedOn w:val="1"/>
    <w:qFormat/>
    <w:uiPriority w:val="0"/>
    <w:pPr>
      <w:spacing w:line="600" w:lineRule="exact"/>
      <w:ind w:firstLine="600" w:firstLineChars="200"/>
    </w:pPr>
    <w:rPr>
      <w:rFonts w:ascii="仿宋_GB2312"/>
      <w:color w:val="000000"/>
      <w:sz w:val="30"/>
      <w:szCs w:val="22"/>
    </w:rPr>
  </w:style>
  <w:style w:type="paragraph" w:styleId="4">
    <w:name w:val="Plain Text"/>
    <w:basedOn w:val="1"/>
    <w:qFormat/>
    <w:uiPriority w:val="0"/>
    <w:rPr>
      <w:rFonts w:ascii="宋体" w:hAnsi="Courier New" w:cs="Courier New"/>
      <w:szCs w:val="21"/>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qFormat/>
    <w:uiPriority w:val="0"/>
    <w:pPr>
      <w:spacing w:after="120" w:line="240" w:lineRule="auto"/>
      <w:ind w:left="420" w:leftChars="200" w:firstLine="420"/>
    </w:pPr>
    <w:rPr>
      <w:rFonts w:ascii="Times New Roman"/>
      <w:color w:val="auto"/>
      <w:sz w:val="32"/>
      <w:szCs w:val="32"/>
    </w:rPr>
  </w:style>
  <w:style w:type="character" w:styleId="10">
    <w:name w:val="Hyperlink"/>
    <w:basedOn w:val="9"/>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2849</Words>
  <Characters>3148</Characters>
  <Lines>24</Lines>
  <Paragraphs>6</Paragraphs>
  <TotalTime>2</TotalTime>
  <ScaleCrop>false</ScaleCrop>
  <LinksUpToDate>false</LinksUpToDate>
  <CharactersWithSpaces>3236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2024-05-21T06:41:00Z</dcterms:created>
  <dc:creator>Microsoft 帐户</dc:creator>
  <cp:lastModifiedBy>　じ☆ve滴答じ</cp:lastModifiedBy>
  <cp:lastPrinted>2024-05-24T07:52:00Z</cp:lastPrinted>
  <dcterms:modified xsi:type="dcterms:W3CDTF">2024-06-20T04:34:01Z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D1F09039A5B6491FBBD2EC7618662E6C_13</vt:lpwstr>
  </property>
</Properties>
</file>